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46BB" w:rsidRDefault="00D346BB" w:rsidP="00D346BB">
      <w:pPr>
        <w:pStyle w:val="a6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01505404" r:id="rId9"/>
        </w:objec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33D">
        <w:rPr>
          <w:sz w:val="28"/>
          <w:szCs w:val="28"/>
          <w:lang w:val="uk-UA"/>
        </w:rPr>
        <w:t>СІМНАДЦЯТА</w:t>
      </w:r>
      <w:r>
        <w:rPr>
          <w:sz w:val="28"/>
          <w:szCs w:val="28"/>
        </w:rPr>
        <w:t xml:space="preserve"> СЕСІЯ VІІІ  СКЛИКАННЯ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rPr>
          <w:sz w:val="28"/>
          <w:szCs w:val="28"/>
        </w:rPr>
      </w:pPr>
    </w:p>
    <w:p w:rsidR="00D346BB" w:rsidRDefault="002D033D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D346BB">
        <w:rPr>
          <w:b/>
          <w:sz w:val="28"/>
          <w:szCs w:val="28"/>
        </w:rPr>
        <w:t xml:space="preserve">Р І Ш Е Н </w:t>
      </w:r>
      <w:proofErr w:type="spellStart"/>
      <w:r w:rsidR="00D346BB">
        <w:rPr>
          <w:b/>
          <w:sz w:val="28"/>
          <w:szCs w:val="28"/>
        </w:rPr>
        <w:t>Н</w:t>
      </w:r>
      <w:proofErr w:type="spellEnd"/>
      <w:r w:rsidR="00D346BB">
        <w:rPr>
          <w:b/>
          <w:sz w:val="28"/>
          <w:szCs w:val="28"/>
        </w:rPr>
        <w:t xml:space="preserve"> Я</w:t>
      </w:r>
    </w:p>
    <w:p w:rsidR="00D346BB" w:rsidRPr="002D033D" w:rsidRDefault="002D033D" w:rsidP="00D346BB">
      <w:pPr>
        <w:tabs>
          <w:tab w:val="left" w:pos="0"/>
        </w:tabs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23 </w:t>
      </w:r>
      <w:proofErr w:type="spellStart"/>
      <w:r>
        <w:rPr>
          <w:b/>
          <w:sz w:val="28"/>
          <w:szCs w:val="28"/>
        </w:rPr>
        <w:t>грудня</w:t>
      </w:r>
      <w:proofErr w:type="spellEnd"/>
      <w:r w:rsidR="00D346BB">
        <w:rPr>
          <w:b/>
          <w:sz w:val="28"/>
          <w:szCs w:val="28"/>
        </w:rPr>
        <w:t xml:space="preserve"> 2021 року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D346BB">
        <w:rPr>
          <w:b/>
          <w:sz w:val="28"/>
          <w:szCs w:val="28"/>
        </w:rPr>
        <w:t xml:space="preserve">  № 1</w:t>
      </w:r>
      <w:r>
        <w:rPr>
          <w:b/>
          <w:sz w:val="28"/>
          <w:szCs w:val="28"/>
          <w:lang w:val="uk-UA"/>
        </w:rPr>
        <w:t>7</w:t>
      </w:r>
      <w:r w:rsidR="00D346BB">
        <w:rPr>
          <w:b/>
          <w:sz w:val="28"/>
          <w:szCs w:val="28"/>
        </w:rPr>
        <w:t>/</w:t>
      </w:r>
      <w:r>
        <w:rPr>
          <w:b/>
          <w:sz w:val="28"/>
          <w:szCs w:val="28"/>
          <w:lang w:val="uk-UA"/>
        </w:rPr>
        <w:t>21</w:t>
      </w:r>
    </w:p>
    <w:p w:rsidR="00D346BB" w:rsidRDefault="00D346BB" w:rsidP="00D346BB">
      <w:pPr>
        <w:tabs>
          <w:tab w:val="left" w:pos="4020"/>
        </w:tabs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="005B7934">
        <w:rPr>
          <w:rFonts w:eastAsia="Calibri"/>
          <w:b/>
          <w:sz w:val="28"/>
          <w:szCs w:val="28"/>
          <w:lang w:val="uk-UA" w:eastAsia="en-US"/>
        </w:rPr>
        <w:t>«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 xml:space="preserve">, учасників бойових дій, почесних </w:t>
      </w:r>
    </w:p>
    <w:p w:rsidR="009107CA" w:rsidRPr="009107CA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</w:t>
      </w:r>
      <w:r w:rsidR="002629E2">
        <w:rPr>
          <w:b/>
          <w:sz w:val="28"/>
          <w:szCs w:val="28"/>
          <w:lang w:val="uk-UA"/>
        </w:rPr>
        <w:t>»</w:t>
      </w:r>
      <w:r w:rsidR="006E4F81">
        <w:rPr>
          <w:b/>
          <w:sz w:val="28"/>
          <w:szCs w:val="28"/>
          <w:lang w:val="uk-UA"/>
        </w:rPr>
        <w:t xml:space="preserve">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2D033D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Гатненська сільська рада 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підприємницької діяльності, промислової політики, торгівлі, реклами, архітектури, благоустрою, транспорту та зв’язку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Вору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шев</w:t>
      </w:r>
      <w:proofErr w:type="spellEnd"/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С.Є.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E96216" w:rsidRPr="002D033D">
        <w:rPr>
          <w:rFonts w:eastAsia="Calibri"/>
          <w:snapToGrid w:val="0"/>
          <w:sz w:val="28"/>
          <w:lang w:val="uk-UA" w:eastAsia="en-US"/>
        </w:rPr>
        <w:t xml:space="preserve">першого </w:t>
      </w:r>
      <w:r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 xml:space="preserve">заступника </w:t>
      </w:r>
      <w:r w:rsidR="00640C46"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>сільського</w:t>
      </w:r>
      <w:r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 xml:space="preserve"> голови </w:t>
      </w:r>
      <w:proofErr w:type="spellStart"/>
      <w:r w:rsidR="00E96216"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>Вітенка</w:t>
      </w:r>
      <w:proofErr w:type="spellEnd"/>
      <w:r w:rsidR="00E96216" w:rsidRPr="002D033D">
        <w:rPr>
          <w:rFonts w:eastAsia="Calibri"/>
          <w:snapToGrid w:val="0"/>
          <w:color w:val="000000"/>
          <w:sz w:val="28"/>
          <w:szCs w:val="28"/>
          <w:lang w:val="uk-UA" w:eastAsia="en-US"/>
        </w:rPr>
        <w:t xml:space="preserve"> С.М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      </w:t>
      </w:r>
      <w:r>
        <w:rPr>
          <w:rFonts w:eastAsia="Calibri"/>
          <w:b/>
          <w:sz w:val="28"/>
          <w:szCs w:val="28"/>
          <w:lang w:val="uk-UA" w:eastAsia="en-US"/>
        </w:rPr>
        <w:t>Олександрович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2D033D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Pr="00640C46" w:rsidRDefault="002D033D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           рішення </w:t>
      </w:r>
      <w:r w:rsidR="002D033D">
        <w:rPr>
          <w:rFonts w:eastAsia="Calibri"/>
          <w:sz w:val="26"/>
          <w:szCs w:val="26"/>
          <w:lang w:val="uk-UA" w:eastAsia="en-US"/>
        </w:rPr>
        <w:t>сімнадцятої сесії</w:t>
      </w:r>
    </w:p>
    <w:p w:rsidR="002D033D" w:rsidRDefault="00754D9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Гатненської сільської</w:t>
      </w:r>
      <w:r w:rsidR="00E22E48" w:rsidRPr="00D346BB">
        <w:rPr>
          <w:rFonts w:eastAsia="Calibri"/>
          <w:sz w:val="26"/>
          <w:szCs w:val="26"/>
          <w:lang w:val="uk-UA" w:eastAsia="en-US"/>
        </w:rPr>
        <w:t xml:space="preserve"> ради </w:t>
      </w:r>
    </w:p>
    <w:p w:rsidR="00E22E48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VII</w:t>
      </w:r>
      <w:r w:rsidR="005B7934" w:rsidRPr="00D346BB">
        <w:rPr>
          <w:rFonts w:eastAsia="Calibri"/>
          <w:sz w:val="26"/>
          <w:szCs w:val="26"/>
          <w:lang w:val="uk-UA" w:eastAsia="en-US"/>
        </w:rPr>
        <w:t>І</w:t>
      </w:r>
      <w:r w:rsidRPr="00D346BB">
        <w:rPr>
          <w:rFonts w:eastAsia="Calibri"/>
          <w:sz w:val="26"/>
          <w:szCs w:val="26"/>
          <w:lang w:val="uk-UA" w:eastAsia="en-US"/>
        </w:rPr>
        <w:t xml:space="preserve"> скликання 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5B7934" w:rsidRPr="00D346BB">
        <w:rPr>
          <w:rFonts w:eastAsia="Calibri"/>
          <w:sz w:val="26"/>
          <w:szCs w:val="26"/>
          <w:lang w:val="uk-UA" w:eastAsia="en-US"/>
        </w:rPr>
        <w:t xml:space="preserve">                 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   </w:t>
      </w:r>
      <w:r w:rsidR="00754D98" w:rsidRPr="00D346BB">
        <w:rPr>
          <w:rFonts w:eastAsia="Calibri"/>
          <w:sz w:val="26"/>
          <w:szCs w:val="26"/>
          <w:lang w:val="uk-UA" w:eastAsia="en-US"/>
        </w:rPr>
        <w:t>від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2D033D">
        <w:rPr>
          <w:rFonts w:eastAsia="Calibri"/>
          <w:sz w:val="26"/>
          <w:szCs w:val="26"/>
          <w:lang w:val="uk-UA" w:eastAsia="en-US"/>
        </w:rPr>
        <w:t>23 грудня 2021  р. №17/21</w:t>
      </w:r>
    </w:p>
    <w:p w:rsidR="009107CA" w:rsidRPr="00D346BB" w:rsidRDefault="009107CA" w:rsidP="00E22E48">
      <w:pPr>
        <w:pStyle w:val="a8"/>
        <w:spacing w:line="360" w:lineRule="auto"/>
        <w:ind w:left="5103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EE2A0D" w:rsidRDefault="009107CA" w:rsidP="009107CA">
      <w:pPr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EE2A0D" w:rsidRDefault="009107CA" w:rsidP="009107CA">
      <w:pPr>
        <w:spacing w:after="120"/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5B7934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ED1CC2" w:rsidRDefault="009107CA" w:rsidP="009107CA">
      <w:pPr>
        <w:pStyle w:val="a8"/>
        <w:spacing w:line="360" w:lineRule="auto"/>
        <w:jc w:val="right"/>
        <w:rPr>
          <w:sz w:val="20"/>
          <w:szCs w:val="20"/>
          <w:lang w:val="ru-RU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5260C5" w:rsidRPr="00DB51AF" w:rsidRDefault="005260C5" w:rsidP="00754D98">
      <w:pPr>
        <w:pStyle w:val="a8"/>
        <w:spacing w:line="360" w:lineRule="auto"/>
        <w:jc w:val="left"/>
        <w:rPr>
          <w:sz w:val="28"/>
          <w:szCs w:val="28"/>
        </w:rPr>
      </w:pPr>
    </w:p>
    <w:p w:rsidR="003D5B5C" w:rsidRPr="003D5B5C" w:rsidRDefault="00754D98" w:rsidP="003D5B5C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Гатне - 2021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 xml:space="preserve">Відділ </w:t>
            </w:r>
            <w:r w:rsidR="00754D98">
              <w:rPr>
                <w:sz w:val="28"/>
                <w:szCs w:val="28"/>
                <w:lang w:val="uk-UA" w:eastAsia="ru-RU"/>
              </w:rPr>
              <w:t xml:space="preserve">капітального будівництва, благоустрою та </w:t>
            </w:r>
            <w:r w:rsidRPr="003D5B5C">
              <w:rPr>
                <w:sz w:val="28"/>
                <w:szCs w:val="28"/>
                <w:lang w:val="uk-UA" w:eastAsia="ru-RU"/>
              </w:rPr>
              <w:t>жит</w:t>
            </w:r>
            <w:r w:rsidR="00754D98">
              <w:rPr>
                <w:sz w:val="28"/>
                <w:szCs w:val="28"/>
                <w:lang w:val="uk-UA" w:eastAsia="ru-RU"/>
              </w:rPr>
              <w:t>лово-комунального господарства</w:t>
            </w:r>
          </w:p>
        </w:tc>
      </w:tr>
      <w:tr w:rsidR="003D5B5C" w:rsidRPr="003D5B5C" w:rsidTr="00FB44DC">
        <w:trPr>
          <w:trHeight w:val="703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3D5B5C">
              <w:rPr>
                <w:bCs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3D5B5C">
              <w:rPr>
                <w:bCs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6237" w:type="dxa"/>
          </w:tcPr>
          <w:p w:rsidR="003D5B5C" w:rsidRPr="003D5B5C" w:rsidRDefault="00C320F7" w:rsidP="00C320F7">
            <w:pPr>
              <w:widowControl/>
              <w:suppressAutoHyphens w:val="0"/>
              <w:autoSpaceDE/>
              <w:rPr>
                <w:color w:val="FF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КП «Інтер-К»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3D5B5C" w:rsidRPr="006D5F69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C320F7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КП «Інтер-К»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3D5B5C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2021</w:t>
            </w:r>
            <w:r w:rsidR="00E96216">
              <w:rPr>
                <w:sz w:val="28"/>
                <w:szCs w:val="28"/>
                <w:lang w:val="uk-UA" w:eastAsia="ru-RU"/>
              </w:rPr>
              <w:t xml:space="preserve"> - 2025 роки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6D5F69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Pr="006D5F69" w:rsidRDefault="003D5B5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1F41E5">
      <w:pPr>
        <w:ind w:firstLine="851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9107CA" w:rsidRPr="00807EB0">
        <w:rPr>
          <w:sz w:val="28"/>
          <w:szCs w:val="28"/>
          <w:lang w:val="uk-UA" w:eastAsia="ru-RU"/>
        </w:rPr>
        <w:t xml:space="preserve"> рік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D0352">
        <w:rPr>
          <w:sz w:val="28"/>
          <w:szCs w:val="28"/>
          <w:lang w:val="uk-UA" w:eastAsia="ru-RU"/>
        </w:rPr>
        <w:t xml:space="preserve">14,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Pr="003B442C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 xml:space="preserve">а також учасників бойових дій, постраждалих учасників Революції Гідності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6D5F69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розрахована на 2021-2025 роки</w:t>
      </w:r>
      <w:bookmarkStart w:id="0" w:name="_GoBack"/>
      <w:bookmarkEnd w:id="0"/>
      <w:r w:rsidR="009107CA" w:rsidRPr="003B442C">
        <w:rPr>
          <w:sz w:val="28"/>
          <w:szCs w:val="28"/>
          <w:lang w:val="uk-UA"/>
        </w:rPr>
        <w:t xml:space="preserve">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AA01FF">
        <w:rPr>
          <w:sz w:val="28"/>
          <w:szCs w:val="28"/>
          <w:lang w:val="uk-UA"/>
        </w:rPr>
        <w:t xml:space="preserve"> </w:t>
      </w:r>
      <w:r w:rsidR="00AA01FF" w:rsidRPr="00FD731F">
        <w:rPr>
          <w:b/>
          <w:i/>
          <w:sz w:val="28"/>
          <w:szCs w:val="28"/>
          <w:lang w:val="uk-UA"/>
        </w:rPr>
        <w:t xml:space="preserve">в </w:t>
      </w:r>
      <w:r w:rsidRPr="00FD731F">
        <w:rPr>
          <w:b/>
          <w:i/>
          <w:sz w:val="28"/>
          <w:szCs w:val="28"/>
          <w:lang w:val="uk-UA"/>
        </w:rPr>
        <w:t xml:space="preserve">сумі </w:t>
      </w: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01"/>
        <w:gridCol w:w="1773"/>
      </w:tblGrid>
      <w:tr w:rsidR="009C6DD8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8" w:rsidRPr="009C6DD8" w:rsidRDefault="009C6DD8" w:rsidP="00180243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ru-RU"/>
              </w:rPr>
              <w:t>Перелік</w:t>
            </w:r>
            <w:r w:rsidR="00180243">
              <w:rPr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Pr="009C6DD8">
              <w:rPr>
                <w:b/>
                <w:bCs/>
                <w:sz w:val="26"/>
                <w:szCs w:val="26"/>
                <w:lang w:val="uk-UA" w:eastAsia="ru-RU"/>
              </w:rPr>
              <w:t>видів ритуальних послуг та предметів ритуальної належності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uk-UA"/>
              </w:rPr>
              <w:t>Ціна, грн.</w:t>
            </w:r>
          </w:p>
        </w:tc>
      </w:tr>
      <w:tr w:rsidR="009C6DD8" w:rsidRPr="009C6DD8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Послуги з перевезення (вартість за годину)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FD731F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9C6DD8" w:rsidRPr="009C6DD8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uk-UA"/>
              </w:rPr>
              <w:t xml:space="preserve">Труна (дерев’яна стандартна)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FD731F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9C6DD8" w:rsidRPr="009C6DD8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en-US"/>
              </w:rPr>
              <w:t>3</w:t>
            </w:r>
          </w:p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uk-UA"/>
              </w:rPr>
            </w:pPr>
            <w:r w:rsidRPr="009C6DD8">
              <w:rPr>
                <w:bCs/>
                <w:sz w:val="26"/>
                <w:szCs w:val="26"/>
                <w:lang w:val="uk-UA" w:eastAsia="uk-UA"/>
              </w:rPr>
              <w:t>Табличка (дерев’яна, розмір</w:t>
            </w:r>
            <w:r w:rsidRPr="009C6DD8">
              <w:rPr>
                <w:bCs/>
                <w:sz w:val="26"/>
                <w:szCs w:val="26"/>
                <w:lang w:eastAsia="uk-UA"/>
              </w:rPr>
              <w:t xml:space="preserve"> </w:t>
            </w:r>
            <w:r w:rsidRPr="009C6DD8">
              <w:rPr>
                <w:bCs/>
                <w:sz w:val="26"/>
                <w:szCs w:val="26"/>
                <w:lang w:val="uk-UA" w:eastAsia="uk-UA"/>
              </w:rPr>
              <w:t>*****)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FD731F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uk-UA"/>
              </w:rPr>
            </w:pPr>
          </w:p>
        </w:tc>
      </w:tr>
      <w:tr w:rsidR="00E96216" w:rsidRPr="009C6DD8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6" w:rsidRPr="009C6DD8" w:rsidRDefault="00E96216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6" w:rsidRPr="009C6DD8" w:rsidRDefault="00E96216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 w:eastAsia="uk-UA"/>
              </w:rPr>
              <w:t>Хрест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6" w:rsidRPr="00FD731F" w:rsidRDefault="00E96216" w:rsidP="00E96216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9C6DD8" w:rsidRPr="009C6DD8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E96216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5</w:t>
            </w:r>
            <w:r w:rsidR="009C6DD8" w:rsidRPr="009C6DD8">
              <w:rPr>
                <w:bCs/>
                <w:sz w:val="26"/>
                <w:szCs w:val="26"/>
                <w:lang w:val="uk-UA" w:eastAsia="en-US"/>
              </w:rPr>
              <w:t>.</w:t>
            </w:r>
          </w:p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Cs/>
                <w:sz w:val="26"/>
                <w:szCs w:val="26"/>
                <w:lang w:val="uk-UA" w:eastAsia="uk-UA"/>
              </w:rPr>
              <w:t>Мішок санітарний з поліетилену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FD731F" w:rsidRDefault="009C6DD8" w:rsidP="00E96216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9C6DD8" w:rsidRPr="009C6DD8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E96216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>6</w:t>
            </w:r>
            <w:r w:rsidR="009C6DD8" w:rsidRPr="009C6DD8">
              <w:rPr>
                <w:bCs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Cs/>
                <w:sz w:val="26"/>
                <w:szCs w:val="26"/>
                <w:lang w:val="uk-UA" w:eastAsia="en-US"/>
              </w:rPr>
            </w:pPr>
            <w:proofErr w:type="spellStart"/>
            <w:r w:rsidRPr="009C6DD8">
              <w:rPr>
                <w:sz w:val="26"/>
                <w:szCs w:val="26"/>
                <w:lang w:eastAsia="ru-RU"/>
              </w:rPr>
              <w:t>Викопування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могили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ручним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способом,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опускання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труни з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тілом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померлого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в могилу,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закопування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могили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формування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намогильного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насипу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одноразове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прибирання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території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біля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могили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відповідно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9C6DD8">
              <w:rPr>
                <w:sz w:val="26"/>
                <w:szCs w:val="26"/>
                <w:lang w:eastAsia="ru-RU"/>
              </w:rPr>
              <w:t>затвердженого</w:t>
            </w:r>
            <w:proofErr w:type="spellEnd"/>
            <w:r w:rsidRPr="009C6DD8">
              <w:rPr>
                <w:sz w:val="26"/>
                <w:szCs w:val="26"/>
                <w:lang w:eastAsia="ru-RU"/>
              </w:rPr>
              <w:t xml:space="preserve"> тарифу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FD731F" w:rsidRDefault="009C6DD8" w:rsidP="009C6DD8">
            <w:pPr>
              <w:widowControl/>
              <w:suppressAutoHyphens w:val="0"/>
              <w:autoSpaceDE/>
              <w:jc w:val="center"/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9C6DD8" w:rsidRPr="009C6DD8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9C6DD8" w:rsidRDefault="009C6DD8" w:rsidP="009C6DD8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D8" w:rsidRPr="009C6DD8" w:rsidRDefault="009C6DD8" w:rsidP="009C6DD8">
            <w:pPr>
              <w:widowControl/>
              <w:suppressAutoHyphens w:val="0"/>
              <w:autoSpaceDE/>
              <w:rPr>
                <w:b/>
                <w:bCs/>
                <w:sz w:val="26"/>
                <w:szCs w:val="26"/>
                <w:lang w:val="uk-UA" w:eastAsia="en-US"/>
              </w:rPr>
            </w:pPr>
            <w:r w:rsidRPr="009C6DD8">
              <w:rPr>
                <w:b/>
                <w:bCs/>
                <w:sz w:val="26"/>
                <w:szCs w:val="26"/>
                <w:lang w:val="uk-UA" w:eastAsia="en-US"/>
              </w:rPr>
              <w:t>Всього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D8" w:rsidRPr="00FD731F" w:rsidRDefault="009C6DD8" w:rsidP="00180243">
            <w:pPr>
              <w:widowControl/>
              <w:suppressAutoHyphens w:val="0"/>
              <w:autoSpaceDE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</w:tbl>
    <w:p w:rsidR="009C6DD8" w:rsidRDefault="001F5360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02"/>
        <w:gridCol w:w="1772"/>
      </w:tblGrid>
      <w:tr w:rsidR="001F5360" w:rsidRPr="001F5360" w:rsidTr="00BA6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uk-UA"/>
              </w:rPr>
              <w:t>№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ru-RU"/>
              </w:rPr>
            </w:pPr>
            <w:r w:rsidRPr="001F5360">
              <w:rPr>
                <w:b/>
                <w:bCs/>
                <w:sz w:val="23"/>
                <w:szCs w:val="23"/>
                <w:lang w:val="uk-UA" w:eastAsia="ru-RU"/>
              </w:rPr>
              <w:t xml:space="preserve">Перелік </w:t>
            </w:r>
          </w:p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ru-RU"/>
              </w:rPr>
              <w:t xml:space="preserve">видів ритуальних послуг та предметів ритуальної належності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uk-UA"/>
              </w:rPr>
              <w:t>Ціна, грн.</w:t>
            </w: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Оформлення  договору - замовлення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180243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Труна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180243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Вінок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uk-UA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Підпис траурної стрічки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uk-UA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uk-UA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Хрест металевий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uk-UA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Покривало ритуальне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uk-UA"/>
              </w:rPr>
              <w:t>Поховальний набір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Cs/>
                <w:sz w:val="23"/>
                <w:szCs w:val="23"/>
                <w:lang w:val="uk-UA"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Cs/>
                <w:sz w:val="23"/>
                <w:szCs w:val="23"/>
                <w:lang w:val="uk-UA" w:eastAsia="en-US"/>
              </w:rPr>
            </w:pPr>
            <w:proofErr w:type="spellStart"/>
            <w:r w:rsidRPr="001F5360">
              <w:rPr>
                <w:sz w:val="23"/>
                <w:szCs w:val="23"/>
                <w:lang w:eastAsia="ru-RU"/>
              </w:rPr>
              <w:t>Викопування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могили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ручним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способом,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опускання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труни з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тілом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померлого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в могилу,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закопування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могили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намогильного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насипу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одноразове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прибирання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території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біля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могили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1F5360">
              <w:rPr>
                <w:sz w:val="23"/>
                <w:szCs w:val="23"/>
                <w:lang w:eastAsia="ru-RU"/>
              </w:rPr>
              <w:t>затвердженого</w:t>
            </w:r>
            <w:proofErr w:type="spellEnd"/>
            <w:r w:rsidRPr="001F5360">
              <w:rPr>
                <w:sz w:val="23"/>
                <w:szCs w:val="23"/>
                <w:lang w:eastAsia="ru-RU"/>
              </w:rPr>
              <w:t xml:space="preserve"> тарифу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FD731F" w:rsidRDefault="001F5360" w:rsidP="00E96216">
            <w:pPr>
              <w:widowControl/>
              <w:suppressAutoHyphens w:val="0"/>
              <w:autoSpaceDE/>
              <w:jc w:val="center"/>
              <w:rPr>
                <w:bCs/>
                <w:sz w:val="23"/>
                <w:szCs w:val="23"/>
                <w:lang w:val="uk-UA" w:eastAsia="en-US"/>
              </w:rPr>
            </w:pPr>
          </w:p>
        </w:tc>
      </w:tr>
      <w:tr w:rsidR="001F5360" w:rsidRPr="001F5360" w:rsidTr="006D5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60" w:rsidRPr="001F5360" w:rsidRDefault="001F5360" w:rsidP="001F5360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60" w:rsidRPr="001F5360" w:rsidRDefault="001F5360" w:rsidP="001F5360">
            <w:pPr>
              <w:widowControl/>
              <w:suppressAutoHyphens w:val="0"/>
              <w:autoSpaceDE/>
              <w:rPr>
                <w:b/>
                <w:bCs/>
                <w:sz w:val="23"/>
                <w:szCs w:val="23"/>
                <w:lang w:val="uk-UA" w:eastAsia="en-US"/>
              </w:rPr>
            </w:pPr>
            <w:r w:rsidRPr="001F5360">
              <w:rPr>
                <w:b/>
                <w:bCs/>
                <w:sz w:val="23"/>
                <w:szCs w:val="23"/>
                <w:lang w:val="uk-UA" w:eastAsia="en-US"/>
              </w:rPr>
              <w:t>Всього: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60" w:rsidRPr="006F20ED" w:rsidRDefault="001F5360" w:rsidP="00180243">
            <w:pPr>
              <w:widowControl/>
              <w:suppressAutoHyphens w:val="0"/>
              <w:autoSpaceDE/>
              <w:jc w:val="center"/>
              <w:rPr>
                <w:b/>
                <w:bCs/>
                <w:sz w:val="23"/>
                <w:szCs w:val="23"/>
                <w:highlight w:val="yellow"/>
                <w:lang w:val="uk-UA" w:eastAsia="en-US"/>
              </w:rPr>
            </w:pPr>
          </w:p>
        </w:tc>
      </w:tr>
    </w:tbl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дотримання санітарних норм, завдяки включенню можливості </w:t>
      </w:r>
      <w:proofErr w:type="spellStart"/>
      <w:r>
        <w:rPr>
          <w:sz w:val="28"/>
          <w:szCs w:val="28"/>
          <w:lang w:val="uk-UA"/>
        </w:rPr>
        <w:t>непоховання</w:t>
      </w:r>
      <w:proofErr w:type="spellEnd"/>
      <w:r>
        <w:rPr>
          <w:sz w:val="28"/>
          <w:szCs w:val="28"/>
          <w:lang w:val="uk-UA"/>
        </w:rPr>
        <w:t xml:space="preserve"> померлих одиноких громадян, осіб без певного місця проживання, громадян, від поховання яких відмовилися рідні, знайдених невпізнаних 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створення рівних умов для поховання померлих незалежно від їх раси, кольору шкіри, політичних та інших переконань, статі, етнічного та соціального  походження, місця проживання, мовних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 xml:space="preserve">- унеможливлення випадків </w:t>
      </w:r>
      <w:proofErr w:type="spellStart"/>
      <w:r>
        <w:rPr>
          <w:sz w:val="28"/>
          <w:szCs w:val="28"/>
          <w:lang w:val="uk-UA"/>
        </w:rPr>
        <w:t>непоховання</w:t>
      </w:r>
      <w:proofErr w:type="spellEnd"/>
      <w:r>
        <w:rPr>
          <w:sz w:val="28"/>
          <w:szCs w:val="28"/>
          <w:lang w:val="uk-UA"/>
        </w:rPr>
        <w:t xml:space="preserve">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F60F3A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з питань підприємницької діяльності, промислової політики, торгівлі, реклами, архітектури, благоустрою, транспорту та зв’язку</w:t>
      </w:r>
      <w:r>
        <w:rPr>
          <w:sz w:val="28"/>
          <w:szCs w:val="28"/>
          <w:lang w:val="uk-UA"/>
        </w:rPr>
        <w:t>.</w:t>
      </w:r>
    </w:p>
    <w:p w:rsidR="00405F50" w:rsidRDefault="00405F50" w:rsidP="009107CA">
      <w:pPr>
        <w:ind w:firstLine="708"/>
        <w:jc w:val="both"/>
        <w:rPr>
          <w:sz w:val="28"/>
          <w:szCs w:val="28"/>
          <w:lang w:val="uk-UA"/>
        </w:rPr>
      </w:pPr>
    </w:p>
    <w:p w:rsidR="00F7283D" w:rsidRDefault="00F7283D" w:rsidP="009107CA">
      <w:pPr>
        <w:ind w:firstLine="708"/>
        <w:jc w:val="both"/>
        <w:rPr>
          <w:sz w:val="28"/>
          <w:szCs w:val="28"/>
          <w:lang w:val="uk-UA"/>
        </w:rPr>
      </w:pPr>
    </w:p>
    <w:p w:rsidR="006F20ED" w:rsidRPr="00BD530A" w:rsidRDefault="00E96216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Секретар ради</w:t>
      </w: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 w:rsidR="00BD530A">
        <w:rPr>
          <w:b/>
          <w:sz w:val="28"/>
          <w:szCs w:val="28"/>
          <w:lang w:val="uk-UA" w:eastAsia="ru-RU"/>
        </w:rPr>
        <w:t xml:space="preserve">              </w:t>
      </w: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 w:rsidR="00180243">
        <w:rPr>
          <w:b/>
          <w:sz w:val="28"/>
          <w:szCs w:val="28"/>
          <w:lang w:val="uk-UA" w:eastAsia="ru-RU"/>
        </w:rPr>
        <w:t xml:space="preserve">             </w:t>
      </w:r>
      <w:r w:rsidR="00BD530A">
        <w:rPr>
          <w:b/>
          <w:sz w:val="28"/>
          <w:szCs w:val="28"/>
          <w:lang w:val="en-US" w:eastAsia="ru-RU"/>
        </w:rPr>
        <w:t xml:space="preserve"> </w:t>
      </w:r>
      <w:r w:rsidR="00BD530A">
        <w:rPr>
          <w:b/>
          <w:sz w:val="28"/>
          <w:szCs w:val="28"/>
          <w:lang w:val="uk-UA" w:eastAsia="ru-RU"/>
        </w:rPr>
        <w:t>Дмитро ШУЛЬГАН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40" w:rsidRDefault="00744D40">
      <w:r>
        <w:separator/>
      </w:r>
    </w:p>
  </w:endnote>
  <w:endnote w:type="continuationSeparator" w:id="0">
    <w:p w:rsidR="00744D40" w:rsidRDefault="007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40" w:rsidRDefault="00744D40">
      <w:r>
        <w:separator/>
      </w:r>
    </w:p>
  </w:footnote>
  <w:footnote w:type="continuationSeparator" w:id="0">
    <w:p w:rsidR="00744D40" w:rsidRDefault="0074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62ED1"/>
    <w:rsid w:val="000A4D3B"/>
    <w:rsid w:val="000B3FDE"/>
    <w:rsid w:val="000E3636"/>
    <w:rsid w:val="00180243"/>
    <w:rsid w:val="001F1BE9"/>
    <w:rsid w:val="001F41E5"/>
    <w:rsid w:val="001F5360"/>
    <w:rsid w:val="00207B82"/>
    <w:rsid w:val="002629E2"/>
    <w:rsid w:val="00290267"/>
    <w:rsid w:val="002D033D"/>
    <w:rsid w:val="00335BE7"/>
    <w:rsid w:val="003410CD"/>
    <w:rsid w:val="003435CA"/>
    <w:rsid w:val="00353F13"/>
    <w:rsid w:val="00380E2C"/>
    <w:rsid w:val="0038506A"/>
    <w:rsid w:val="003A4DE3"/>
    <w:rsid w:val="003B442C"/>
    <w:rsid w:val="003D5B5C"/>
    <w:rsid w:val="004015B2"/>
    <w:rsid w:val="00405F50"/>
    <w:rsid w:val="004719AC"/>
    <w:rsid w:val="00472B1A"/>
    <w:rsid w:val="004B7F69"/>
    <w:rsid w:val="004D655F"/>
    <w:rsid w:val="00504010"/>
    <w:rsid w:val="005260C5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D5F69"/>
    <w:rsid w:val="006D6B7C"/>
    <w:rsid w:val="006E4F81"/>
    <w:rsid w:val="006F20ED"/>
    <w:rsid w:val="00744D40"/>
    <w:rsid w:val="00754D98"/>
    <w:rsid w:val="007A3C09"/>
    <w:rsid w:val="007D0352"/>
    <w:rsid w:val="007D26E7"/>
    <w:rsid w:val="007D3315"/>
    <w:rsid w:val="007E79ED"/>
    <w:rsid w:val="00807EB0"/>
    <w:rsid w:val="00832121"/>
    <w:rsid w:val="00894DC3"/>
    <w:rsid w:val="008C69DB"/>
    <w:rsid w:val="008E0881"/>
    <w:rsid w:val="008F3EA0"/>
    <w:rsid w:val="009107CA"/>
    <w:rsid w:val="00981E2F"/>
    <w:rsid w:val="00985A25"/>
    <w:rsid w:val="009C6DD8"/>
    <w:rsid w:val="009D14A3"/>
    <w:rsid w:val="009F1EFA"/>
    <w:rsid w:val="00A300B1"/>
    <w:rsid w:val="00A33E11"/>
    <w:rsid w:val="00A8084D"/>
    <w:rsid w:val="00AA01FF"/>
    <w:rsid w:val="00AA7589"/>
    <w:rsid w:val="00AB0663"/>
    <w:rsid w:val="00AD5CB2"/>
    <w:rsid w:val="00AE0BC7"/>
    <w:rsid w:val="00AF060B"/>
    <w:rsid w:val="00AF63B8"/>
    <w:rsid w:val="00B4125C"/>
    <w:rsid w:val="00B61F65"/>
    <w:rsid w:val="00B73A77"/>
    <w:rsid w:val="00BA1A75"/>
    <w:rsid w:val="00BA6AA3"/>
    <w:rsid w:val="00BD530A"/>
    <w:rsid w:val="00BF0995"/>
    <w:rsid w:val="00C15334"/>
    <w:rsid w:val="00C320F7"/>
    <w:rsid w:val="00C97F46"/>
    <w:rsid w:val="00CC1C0E"/>
    <w:rsid w:val="00CE5783"/>
    <w:rsid w:val="00D346BB"/>
    <w:rsid w:val="00DB51AF"/>
    <w:rsid w:val="00DD6197"/>
    <w:rsid w:val="00E21820"/>
    <w:rsid w:val="00E22E48"/>
    <w:rsid w:val="00E4283F"/>
    <w:rsid w:val="00E83387"/>
    <w:rsid w:val="00E83989"/>
    <w:rsid w:val="00E96216"/>
    <w:rsid w:val="00EA6EBF"/>
    <w:rsid w:val="00ED1CC2"/>
    <w:rsid w:val="00EE2A0D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2DEB-6DEE-4B80-9294-EB9AAD4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Asus</cp:lastModifiedBy>
  <cp:revision>8</cp:revision>
  <cp:lastPrinted>2020-12-23T08:58:00Z</cp:lastPrinted>
  <dcterms:created xsi:type="dcterms:W3CDTF">2021-08-17T12:10:00Z</dcterms:created>
  <dcterms:modified xsi:type="dcterms:W3CDTF">2021-12-20T09:37:00Z</dcterms:modified>
</cp:coreProperties>
</file>